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0F4A" w14:textId="1E1BEA76" w:rsidR="003A0A15" w:rsidRDefault="003A0A15" w:rsidP="003A0A15">
      <w:pPr>
        <w:ind w:firstLine="0"/>
        <w:rPr>
          <w:b/>
          <w:bCs/>
          <w:sz w:val="28"/>
          <w:szCs w:val="28"/>
        </w:rPr>
      </w:pPr>
      <w:r w:rsidRPr="00E23E18">
        <w:rPr>
          <w:b/>
          <w:bCs/>
          <w:sz w:val="28"/>
          <w:szCs w:val="28"/>
        </w:rPr>
        <w:t>Čestné prohlášení o způsobilosti uchazeče</w:t>
      </w:r>
      <w:r w:rsidR="008D145E" w:rsidRPr="00E23E18">
        <w:rPr>
          <w:b/>
          <w:bCs/>
          <w:sz w:val="28"/>
          <w:szCs w:val="28"/>
        </w:rPr>
        <w:t>/</w:t>
      </w:r>
      <w:r w:rsidRPr="00E23E18">
        <w:rPr>
          <w:b/>
          <w:bCs/>
          <w:sz w:val="28"/>
          <w:szCs w:val="28"/>
        </w:rPr>
        <w:t>spoluuchazeče pro výzkumné organizace</w:t>
      </w:r>
    </w:p>
    <w:p w14:paraId="57953B91" w14:textId="77777777" w:rsidR="00E23E18" w:rsidRPr="00E23E18" w:rsidRDefault="00E23E18" w:rsidP="003A0A15">
      <w:pPr>
        <w:ind w:firstLine="0"/>
        <w:rPr>
          <w:b/>
          <w:bCs/>
          <w:sz w:val="28"/>
          <w:szCs w:val="28"/>
        </w:rPr>
      </w:pPr>
    </w:p>
    <w:p w14:paraId="29A7FFB0" w14:textId="20C4C27A" w:rsidR="00E23E18" w:rsidRPr="009159A3" w:rsidRDefault="00E23E18" w:rsidP="00E23E18">
      <w:pPr>
        <w:ind w:firstLine="0"/>
        <w:rPr>
          <w:rFonts w:cs="Arial"/>
          <w:b/>
          <w:sz w:val="20"/>
          <w:szCs w:val="20"/>
        </w:rPr>
      </w:pPr>
      <w:r w:rsidRPr="009159A3">
        <w:rPr>
          <w:rFonts w:cs="Arial"/>
          <w:b/>
          <w:sz w:val="20"/>
          <w:szCs w:val="20"/>
        </w:rPr>
        <w:t>Uchazeč</w:t>
      </w:r>
      <w:r w:rsidR="00CD426D">
        <w:rPr>
          <w:rFonts w:cs="Arial"/>
          <w:b/>
          <w:sz w:val="20"/>
          <w:szCs w:val="20"/>
        </w:rPr>
        <w:t>/</w:t>
      </w:r>
      <w:r w:rsidRPr="009159A3">
        <w:rPr>
          <w:rFonts w:cs="Arial"/>
          <w:b/>
          <w:sz w:val="20"/>
          <w:szCs w:val="20"/>
        </w:rPr>
        <w:t>spoluuchazeč:</w:t>
      </w:r>
    </w:p>
    <w:p w14:paraId="2D08CF71" w14:textId="523B6D27" w:rsidR="00E23E18" w:rsidRPr="009159A3" w:rsidRDefault="00E23E18" w:rsidP="00E23E18">
      <w:pPr>
        <w:spacing w:before="160"/>
        <w:ind w:firstLine="0"/>
        <w:rPr>
          <w:rFonts w:cs="Arial"/>
          <w:sz w:val="20"/>
          <w:szCs w:val="20"/>
        </w:rPr>
      </w:pPr>
      <w:r w:rsidRPr="009159A3">
        <w:rPr>
          <w:rFonts w:cs="Arial"/>
          <w:sz w:val="20"/>
          <w:szCs w:val="20"/>
        </w:rPr>
        <w:t>obchodní firma nebo název uchazeče</w:t>
      </w:r>
      <w:r w:rsidR="00CD426D">
        <w:rPr>
          <w:rFonts w:cs="Arial"/>
          <w:sz w:val="20"/>
          <w:szCs w:val="20"/>
        </w:rPr>
        <w:t>/</w:t>
      </w:r>
      <w:r w:rsidR="00A600C5" w:rsidRPr="009159A3">
        <w:rPr>
          <w:rFonts w:cs="Arial"/>
          <w:sz w:val="20"/>
          <w:szCs w:val="20"/>
        </w:rPr>
        <w:t>spoluuchazeče</w:t>
      </w:r>
      <w:r w:rsidR="00A600C5" w:rsidRPr="009159A3">
        <w:rPr>
          <w:rFonts w:cs="Arial"/>
          <w:sz w:val="20"/>
          <w:szCs w:val="20"/>
          <w:vertAlign w:val="superscript"/>
        </w:rPr>
        <w:t>:</w:t>
      </w:r>
      <w:r>
        <w:rPr>
          <w:rFonts w:cs="Arial"/>
          <w:sz w:val="20"/>
          <w:szCs w:val="20"/>
        </w:rPr>
        <w:t xml:space="preserve"> ……………………………………………………</w:t>
      </w:r>
    </w:p>
    <w:p w14:paraId="460AE6FC" w14:textId="380D26E6" w:rsidR="00E23E18" w:rsidRPr="009159A3" w:rsidRDefault="00E23E18" w:rsidP="00E23E18">
      <w:pPr>
        <w:spacing w:before="160"/>
        <w:ind w:firstLine="0"/>
        <w:rPr>
          <w:rFonts w:cs="Arial"/>
          <w:sz w:val="20"/>
          <w:szCs w:val="20"/>
        </w:rPr>
      </w:pPr>
      <w:r w:rsidRPr="009159A3">
        <w:rPr>
          <w:rFonts w:cs="Arial"/>
          <w:sz w:val="20"/>
          <w:szCs w:val="20"/>
        </w:rPr>
        <w:t>sídlo uchazeče</w:t>
      </w:r>
      <w:r w:rsidR="00CD426D">
        <w:rPr>
          <w:rFonts w:cs="Arial"/>
          <w:sz w:val="20"/>
          <w:szCs w:val="20"/>
        </w:rPr>
        <w:t>/</w:t>
      </w:r>
      <w:r w:rsidRPr="009159A3">
        <w:rPr>
          <w:rFonts w:cs="Arial"/>
          <w:sz w:val="20"/>
          <w:szCs w:val="20"/>
        </w:rPr>
        <w:t>spoluuchazeče</w:t>
      </w:r>
      <w:r>
        <w:rPr>
          <w:rFonts w:cs="Arial"/>
          <w:sz w:val="20"/>
          <w:szCs w:val="20"/>
        </w:rPr>
        <w:t>: ……………………………………………………………………………</w:t>
      </w:r>
    </w:p>
    <w:p w14:paraId="2B4C2F95" w14:textId="2C38D06F" w:rsidR="00E23E18" w:rsidRPr="009159A3" w:rsidRDefault="00E23E18" w:rsidP="00E23E18">
      <w:pPr>
        <w:spacing w:before="160"/>
        <w:ind w:right="-142" w:firstLine="0"/>
        <w:rPr>
          <w:rFonts w:cs="Arial"/>
          <w:sz w:val="20"/>
          <w:szCs w:val="20"/>
        </w:rPr>
      </w:pPr>
      <w:r w:rsidRPr="009159A3">
        <w:rPr>
          <w:rFonts w:cs="Arial"/>
          <w:sz w:val="20"/>
          <w:szCs w:val="20"/>
        </w:rPr>
        <w:t>IČ</w:t>
      </w:r>
      <w:r>
        <w:rPr>
          <w:rFonts w:cs="Arial"/>
          <w:sz w:val="20"/>
          <w:szCs w:val="20"/>
        </w:rPr>
        <w:t>O</w:t>
      </w:r>
      <w:r w:rsidRPr="009159A3">
        <w:rPr>
          <w:rFonts w:cs="Arial"/>
          <w:sz w:val="20"/>
          <w:szCs w:val="20"/>
        </w:rPr>
        <w:t xml:space="preserve"> uchazeče</w:t>
      </w:r>
      <w:r w:rsidR="00CD426D">
        <w:rPr>
          <w:rFonts w:cs="Arial"/>
          <w:sz w:val="20"/>
          <w:szCs w:val="20"/>
        </w:rPr>
        <w:t>/</w:t>
      </w:r>
      <w:r w:rsidRPr="009159A3">
        <w:rPr>
          <w:rFonts w:cs="Arial"/>
          <w:sz w:val="20"/>
          <w:szCs w:val="20"/>
        </w:rPr>
        <w:t>spoluuchazeče</w:t>
      </w:r>
      <w:r>
        <w:rPr>
          <w:rFonts w:cs="Arial"/>
          <w:sz w:val="20"/>
          <w:szCs w:val="20"/>
        </w:rPr>
        <w:t>: …………………………………………………………………………….</w:t>
      </w:r>
    </w:p>
    <w:p w14:paraId="23F61EB2" w14:textId="77777777" w:rsidR="003A0A15" w:rsidRPr="00F21C72" w:rsidRDefault="003A0A15" w:rsidP="003A0A15">
      <w:pPr>
        <w:ind w:firstLine="0"/>
        <w:rPr>
          <w:rFonts w:cs="Arial"/>
          <w:sz w:val="20"/>
          <w:szCs w:val="20"/>
        </w:rPr>
      </w:pPr>
    </w:p>
    <w:p w14:paraId="340466A9" w14:textId="03F78727" w:rsidR="003A0A15" w:rsidRPr="00F21C72" w:rsidRDefault="003A0A15" w:rsidP="003A0A15">
      <w:pPr>
        <w:spacing w:before="120"/>
        <w:ind w:firstLine="0"/>
        <w:rPr>
          <w:rFonts w:cs="Arial"/>
          <w:b/>
          <w:sz w:val="20"/>
          <w:szCs w:val="20"/>
        </w:rPr>
      </w:pPr>
      <w:r w:rsidRPr="00F21C72">
        <w:rPr>
          <w:rFonts w:cs="Arial"/>
          <w:b/>
          <w:sz w:val="20"/>
          <w:szCs w:val="20"/>
        </w:rPr>
        <w:t xml:space="preserve">tímto prohlašuje, že je </w:t>
      </w:r>
      <w:r>
        <w:rPr>
          <w:rFonts w:cs="Arial"/>
          <w:b/>
          <w:sz w:val="20"/>
          <w:szCs w:val="20"/>
        </w:rPr>
        <w:t>ve smyslu § 33a</w:t>
      </w:r>
      <w:r w:rsidRPr="00F21C72">
        <w:rPr>
          <w:rFonts w:cs="Arial"/>
          <w:b/>
          <w:sz w:val="20"/>
          <w:szCs w:val="20"/>
        </w:rPr>
        <w:t xml:space="preserve"> </w:t>
      </w:r>
      <w:r>
        <w:rPr>
          <w:rFonts w:cs="Arial"/>
          <w:b/>
          <w:sz w:val="20"/>
          <w:szCs w:val="20"/>
        </w:rPr>
        <w:t>zákona</w:t>
      </w:r>
      <w:r w:rsidRPr="003429B1">
        <w:rPr>
          <w:sz w:val="20"/>
          <w:szCs w:val="20"/>
        </w:rPr>
        <w:t xml:space="preserve"> </w:t>
      </w:r>
      <w:r w:rsidRPr="003E3A98">
        <w:rPr>
          <w:sz w:val="20"/>
          <w:szCs w:val="20"/>
        </w:rPr>
        <w:t xml:space="preserve">č. 130/2002 </w:t>
      </w:r>
      <w:proofErr w:type="spellStart"/>
      <w:r w:rsidRPr="003E3A98">
        <w:rPr>
          <w:sz w:val="20"/>
          <w:szCs w:val="20"/>
        </w:rPr>
        <w:t>Sb</w:t>
      </w:r>
      <w:proofErr w:type="spellEnd"/>
      <w:r w:rsidRPr="003078D7">
        <w:rPr>
          <w:rFonts w:cs="Arial"/>
          <w:sz w:val="20"/>
        </w:rPr>
        <w:t>,</w:t>
      </w:r>
      <w:r w:rsidRPr="00F21C72">
        <w:rPr>
          <w:rFonts w:cs="Arial"/>
          <w:b/>
          <w:sz w:val="20"/>
          <w:szCs w:val="20"/>
        </w:rPr>
        <w:t>, výzkumnou organizací zabývající se výzkumem a vývojem a podle níže uvedené definice typu výzkumné organizace splňuje veškeré uvedené podmínky Rámce pro státní podporu výzkumu, vývoje a inovací (20</w:t>
      </w:r>
      <w:r w:rsidR="006A6FE2">
        <w:rPr>
          <w:rFonts w:cs="Arial"/>
          <w:b/>
          <w:sz w:val="20"/>
          <w:szCs w:val="20"/>
        </w:rPr>
        <w:t>22</w:t>
      </w:r>
      <w:r w:rsidRPr="00F21C72">
        <w:rPr>
          <w:rFonts w:cs="Arial"/>
          <w:b/>
          <w:sz w:val="20"/>
          <w:szCs w:val="20"/>
        </w:rPr>
        <w:t xml:space="preserve">/C </w:t>
      </w:r>
      <w:r w:rsidR="006A6FE2">
        <w:rPr>
          <w:rFonts w:cs="Arial"/>
          <w:b/>
          <w:sz w:val="20"/>
          <w:szCs w:val="20"/>
        </w:rPr>
        <w:t>414</w:t>
      </w:r>
      <w:r w:rsidRPr="00F21C72">
        <w:rPr>
          <w:rFonts w:cs="Arial"/>
          <w:b/>
          <w:sz w:val="20"/>
          <w:szCs w:val="20"/>
        </w:rPr>
        <w:t>/01).</w:t>
      </w:r>
    </w:p>
    <w:p w14:paraId="27E32CA0" w14:textId="5ADCABF1" w:rsidR="003A0A15" w:rsidRPr="00F21C72" w:rsidRDefault="00E23E18" w:rsidP="003A0A15">
      <w:pPr>
        <w:jc w:val="center"/>
        <w:rPr>
          <w:b/>
          <w:bCs/>
          <w:sz w:val="20"/>
          <w:szCs w:val="20"/>
        </w:rPr>
      </w:pPr>
      <w:r w:rsidRPr="00E23E18">
        <w:rPr>
          <w:b/>
          <w:bCs/>
          <w:sz w:val="20"/>
          <w:szCs w:val="20"/>
        </w:rPr>
        <w:t xml:space="preserve">Sdělení </w:t>
      </w:r>
      <w:r w:rsidR="009C25A6" w:rsidRPr="00E23E18">
        <w:rPr>
          <w:b/>
          <w:bCs/>
          <w:sz w:val="20"/>
          <w:szCs w:val="20"/>
        </w:rPr>
        <w:t>Komise – Rámec</w:t>
      </w:r>
      <w:r w:rsidRPr="00E23E18">
        <w:rPr>
          <w:b/>
          <w:bCs/>
          <w:sz w:val="20"/>
          <w:szCs w:val="20"/>
        </w:rPr>
        <w:t xml:space="preserve"> pro státní podporu výzkumu, vývoje a inovací (</w:t>
      </w:r>
      <w:r w:rsidR="009C25A6" w:rsidRPr="00F21C72">
        <w:rPr>
          <w:rFonts w:cs="Arial"/>
          <w:b/>
          <w:sz w:val="20"/>
          <w:szCs w:val="20"/>
        </w:rPr>
        <w:t>20</w:t>
      </w:r>
      <w:r w:rsidR="009C25A6">
        <w:rPr>
          <w:rFonts w:cs="Arial"/>
          <w:b/>
          <w:sz w:val="20"/>
          <w:szCs w:val="20"/>
        </w:rPr>
        <w:t>22</w:t>
      </w:r>
      <w:r w:rsidR="009C25A6" w:rsidRPr="00F21C72">
        <w:rPr>
          <w:rFonts w:cs="Arial"/>
          <w:b/>
          <w:sz w:val="20"/>
          <w:szCs w:val="20"/>
        </w:rPr>
        <w:t xml:space="preserve">/C </w:t>
      </w:r>
      <w:r w:rsidR="009C25A6">
        <w:rPr>
          <w:rFonts w:cs="Arial"/>
          <w:b/>
          <w:sz w:val="20"/>
          <w:szCs w:val="20"/>
        </w:rPr>
        <w:t>414</w:t>
      </w:r>
      <w:r w:rsidR="009C25A6" w:rsidRPr="00F21C72">
        <w:rPr>
          <w:rFonts w:cs="Arial"/>
          <w:b/>
          <w:sz w:val="20"/>
          <w:szCs w:val="20"/>
        </w:rPr>
        <w:t>/01</w:t>
      </w:r>
      <w:r w:rsidRPr="00E23E18">
        <w:rPr>
          <w:b/>
          <w:bCs/>
          <w:sz w:val="20"/>
          <w:szCs w:val="20"/>
        </w:rPr>
        <w:t>)</w:t>
      </w:r>
      <w:r w:rsidR="009C25A6">
        <w:rPr>
          <w:b/>
          <w:bCs/>
          <w:sz w:val="20"/>
          <w:szCs w:val="20"/>
        </w:rPr>
        <w:t xml:space="preserve"> (dále jen Rámec)</w:t>
      </w:r>
      <w:r w:rsidRPr="00E23E18">
        <w:rPr>
          <w:b/>
          <w:bCs/>
          <w:sz w:val="20"/>
          <w:szCs w:val="20"/>
        </w:rPr>
        <w:t>.</w:t>
      </w:r>
    </w:p>
    <w:p w14:paraId="481AB24E" w14:textId="77777777" w:rsidR="003A0A15" w:rsidRPr="00F21C72" w:rsidRDefault="003A0A15" w:rsidP="003A0A15">
      <w:pPr>
        <w:jc w:val="center"/>
        <w:rPr>
          <w:sz w:val="20"/>
          <w:szCs w:val="20"/>
        </w:rPr>
      </w:pPr>
    </w:p>
    <w:p w14:paraId="41105C7E" w14:textId="040264BC" w:rsidR="006A6FE2" w:rsidRPr="009C25A6" w:rsidRDefault="009C25A6" w:rsidP="006A6FE2">
      <w:pPr>
        <w:rPr>
          <w:i/>
          <w:iCs/>
          <w:sz w:val="20"/>
          <w:szCs w:val="20"/>
        </w:rPr>
      </w:pPr>
      <w:r w:rsidRPr="009C25A6">
        <w:rPr>
          <w:sz w:val="20"/>
          <w:szCs w:val="20"/>
        </w:rPr>
        <w:t xml:space="preserve">Bod. 16 písm. ff) Rámce : </w:t>
      </w:r>
      <w:r w:rsidR="006A6FE2" w:rsidRPr="009C25A6">
        <w:rPr>
          <w:sz w:val="20"/>
          <w:szCs w:val="20"/>
        </w:rPr>
        <w:t>„</w:t>
      </w:r>
      <w:r w:rsidR="006A6FE2" w:rsidRPr="009C25A6">
        <w:rPr>
          <w:i/>
          <w:iCs/>
          <w:sz w:val="20"/>
          <w:szCs w:val="20"/>
        </w:rPr>
        <w:t>organizací pro výzkum a šíření znalostí“ nebo „</w:t>
      </w:r>
      <w:r w:rsidR="006A6FE2" w:rsidRPr="009C25A6">
        <w:rPr>
          <w:b/>
          <w:bCs/>
          <w:i/>
          <w:iCs/>
          <w:sz w:val="20"/>
          <w:szCs w:val="20"/>
        </w:rPr>
        <w:t>výzkumnou organizací</w:t>
      </w:r>
      <w:r w:rsidR="006A6FE2" w:rsidRPr="009C25A6">
        <w:rPr>
          <w:i/>
          <w:iCs/>
          <w:sz w:val="20"/>
          <w:szCs w:val="20"/>
        </w:rPr>
        <w:t xml:space="preserve">“ </w:t>
      </w:r>
      <w:r w:rsidR="00CD426D">
        <w:rPr>
          <w:i/>
          <w:iCs/>
          <w:sz w:val="20"/>
          <w:szCs w:val="20"/>
        </w:rPr>
        <w:t xml:space="preserve">se rozumí </w:t>
      </w:r>
      <w:r w:rsidR="006A6FE2" w:rsidRPr="009C25A6">
        <w:rPr>
          <w:i/>
          <w:iCs/>
          <w:sz w:val="20"/>
          <w:szCs w:val="20"/>
        </w:rPr>
        <w:t>subjekt (např. univerzita nebo výzkumný ústav, agentura pro transfer technologií, zprostředkovatel v oblasti inovací, fyzický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 předávání znalostí. Pokud tento subjekt rovněž vykonává hospodářské činnosti, musí se pro financování, náklady a příjmy těchto hospodářských činností vést oddělené účetnictví. Podniky, jež mohou uplatňovat rozhodující vliv na takovýto subjekt, např. jako podílníci nebo členové, nesmí mít přednostní přístup k výsledkům, jichž dosáhl</w:t>
      </w:r>
      <w:r w:rsidR="00CD426D">
        <w:rPr>
          <w:i/>
          <w:iCs/>
          <w:sz w:val="20"/>
          <w:szCs w:val="20"/>
        </w:rPr>
        <w:t>.</w:t>
      </w:r>
    </w:p>
    <w:p w14:paraId="068232FD" w14:textId="77777777" w:rsidR="003A0A15" w:rsidRPr="00F21C72" w:rsidRDefault="003A0A15" w:rsidP="003A0A15">
      <w:pPr>
        <w:widowControl w:val="0"/>
        <w:jc w:val="center"/>
        <w:rPr>
          <w:i/>
          <w:iCs/>
          <w:sz w:val="20"/>
          <w:szCs w:val="20"/>
        </w:rPr>
      </w:pPr>
    </w:p>
    <w:p w14:paraId="08C9ADA3" w14:textId="165D44C0" w:rsidR="009C25A6" w:rsidRPr="009C25A6" w:rsidRDefault="009C25A6" w:rsidP="009C25A6">
      <w:pPr>
        <w:rPr>
          <w:i/>
          <w:iCs/>
          <w:sz w:val="20"/>
          <w:szCs w:val="20"/>
        </w:rPr>
      </w:pPr>
      <w:r>
        <w:rPr>
          <w:sz w:val="20"/>
          <w:szCs w:val="20"/>
        </w:rPr>
        <w:t xml:space="preserve">Bod </w:t>
      </w:r>
      <w:r w:rsidR="003A0A15" w:rsidRPr="00F21C72">
        <w:rPr>
          <w:sz w:val="20"/>
          <w:szCs w:val="20"/>
        </w:rPr>
        <w:t>1</w:t>
      </w:r>
      <w:r>
        <w:rPr>
          <w:sz w:val="20"/>
          <w:szCs w:val="20"/>
        </w:rPr>
        <w:t>9</w:t>
      </w:r>
      <w:r w:rsidR="003A0A15" w:rsidRPr="00F21C72">
        <w:rPr>
          <w:sz w:val="20"/>
          <w:szCs w:val="20"/>
        </w:rPr>
        <w:t>.</w:t>
      </w:r>
      <w:r>
        <w:rPr>
          <w:sz w:val="20"/>
          <w:szCs w:val="20"/>
        </w:rPr>
        <w:t xml:space="preserve"> Rámce:</w:t>
      </w:r>
      <w:r w:rsidR="003A0A15" w:rsidRPr="00F21C72">
        <w:rPr>
          <w:sz w:val="20"/>
          <w:szCs w:val="20"/>
        </w:rPr>
        <w:t xml:space="preserve"> </w:t>
      </w:r>
      <w:r w:rsidRPr="009C25A6">
        <w:rPr>
          <w:i/>
          <w:iCs/>
          <w:sz w:val="20"/>
          <w:szCs w:val="20"/>
        </w:rPr>
        <w:t xml:space="preserve">Pokud tentýž subjekt provádí činnosti jak hospodářské, tak </w:t>
      </w:r>
      <w:proofErr w:type="spellStart"/>
      <w:r w:rsidRPr="009C25A6">
        <w:rPr>
          <w:i/>
          <w:iCs/>
          <w:sz w:val="20"/>
          <w:szCs w:val="20"/>
        </w:rPr>
        <w:t>nehospodářské</w:t>
      </w:r>
      <w:proofErr w:type="spellEnd"/>
      <w:r w:rsidRPr="009C25A6">
        <w:rPr>
          <w:i/>
          <w:iCs/>
          <w:sz w:val="20"/>
          <w:szCs w:val="20"/>
        </w:rPr>
        <w:t xml:space="preserve"> povahy, pak se nebude na veřejné financování </w:t>
      </w:r>
      <w:proofErr w:type="spellStart"/>
      <w:r w:rsidRPr="009C25A6">
        <w:rPr>
          <w:i/>
          <w:iCs/>
          <w:sz w:val="20"/>
          <w:szCs w:val="20"/>
        </w:rPr>
        <w:t>nehospodářských</w:t>
      </w:r>
      <w:proofErr w:type="spellEnd"/>
      <w:r w:rsidRPr="009C25A6">
        <w:rPr>
          <w:i/>
          <w:iCs/>
          <w:sz w:val="20"/>
          <w:szCs w:val="20"/>
        </w:rPr>
        <w:t xml:space="preserve"> činností vztahovat čl. 107 odst. 1 Smlouvy, lze-li v zájmu účinného zabránění křížovému subvencování hospodářských činností jasně oddělit oba uvedené druhy činností, jakož i příslušné náklady, financování a příjmy. Dokladem o náležitém rozdělení nákladů, financování a příjmů mohou být roční finanční výkazy příslušného subjektu.</w:t>
      </w:r>
    </w:p>
    <w:p w14:paraId="1AD73C8E" w14:textId="0832B8FB" w:rsidR="003A0A15" w:rsidRPr="009C25A6" w:rsidRDefault="009C25A6" w:rsidP="003A0A15">
      <w:pPr>
        <w:ind w:firstLine="0"/>
        <w:rPr>
          <w:i/>
          <w:iCs/>
          <w:sz w:val="20"/>
          <w:szCs w:val="20"/>
        </w:rPr>
      </w:pPr>
      <w:r>
        <w:rPr>
          <w:sz w:val="20"/>
          <w:szCs w:val="20"/>
        </w:rPr>
        <w:t xml:space="preserve">               Bod 20 rámce:</w:t>
      </w:r>
      <w:r w:rsidR="003A0A15" w:rsidRPr="00F21C72">
        <w:rPr>
          <w:sz w:val="20"/>
          <w:szCs w:val="20"/>
        </w:rPr>
        <w:t xml:space="preserve"> </w:t>
      </w:r>
      <w:r w:rsidR="003A0A15" w:rsidRPr="009C25A6">
        <w:rPr>
          <w:i/>
          <w:iCs/>
          <w:sz w:val="20"/>
          <w:szCs w:val="20"/>
        </w:rPr>
        <w:t xml:space="preserve">Komise má za to, že </w:t>
      </w:r>
      <w:proofErr w:type="spellStart"/>
      <w:r w:rsidR="003A0A15" w:rsidRPr="009C25A6">
        <w:rPr>
          <w:i/>
          <w:iCs/>
          <w:sz w:val="20"/>
          <w:szCs w:val="20"/>
        </w:rPr>
        <w:t>nehospodářské</w:t>
      </w:r>
      <w:proofErr w:type="spellEnd"/>
      <w:r w:rsidR="003A0A15" w:rsidRPr="009C25A6">
        <w:rPr>
          <w:i/>
          <w:iCs/>
          <w:sz w:val="20"/>
          <w:szCs w:val="20"/>
        </w:rPr>
        <w:t xml:space="preserve"> povahy jsou obecně tyto činnosti:</w:t>
      </w:r>
    </w:p>
    <w:p w14:paraId="4E3AD97E" w14:textId="77777777" w:rsidR="003A0A15" w:rsidRPr="009C25A6" w:rsidRDefault="003A0A15" w:rsidP="003A0A15">
      <w:pPr>
        <w:ind w:left="360" w:hanging="360"/>
        <w:rPr>
          <w:i/>
          <w:iCs/>
          <w:sz w:val="20"/>
          <w:szCs w:val="20"/>
        </w:rPr>
      </w:pPr>
      <w:r w:rsidRPr="009C25A6">
        <w:rPr>
          <w:i/>
          <w:iCs/>
          <w:sz w:val="20"/>
          <w:szCs w:val="20"/>
        </w:rPr>
        <w:t>a)</w:t>
      </w:r>
      <w:r w:rsidRPr="009C25A6">
        <w:rPr>
          <w:i/>
          <w:iCs/>
          <w:sz w:val="20"/>
          <w:szCs w:val="20"/>
        </w:rPr>
        <w:tab/>
        <w:t>primární činnosti výzkumných organizací a výzkumných infrastruktur, zejména:</w:t>
      </w:r>
    </w:p>
    <w:p w14:paraId="42B6A2AC" w14:textId="77777777" w:rsidR="003A0A15" w:rsidRPr="009C25A6" w:rsidRDefault="003A0A15" w:rsidP="003A0A15">
      <w:pPr>
        <w:numPr>
          <w:ilvl w:val="0"/>
          <w:numId w:val="1"/>
        </w:numPr>
        <w:rPr>
          <w:i/>
          <w:iCs/>
          <w:sz w:val="20"/>
          <w:szCs w:val="20"/>
        </w:rPr>
      </w:pPr>
      <w:r w:rsidRPr="009C25A6">
        <w:rPr>
          <w:i/>
          <w:iCs/>
          <w:sz w:val="20"/>
          <w:szCs w:val="20"/>
        </w:rPr>
        <w:t xml:space="preserve">vzdělávání s cílem zvýšit počty a zlepšit kvalifikaci lidských zdrojů. V souladu s judikaturou a rozhodovací praxí Komise a podle sdělení o pojmu státní podpory a sdělení o službách obecného hospodářského zájmu se za </w:t>
      </w:r>
      <w:proofErr w:type="spellStart"/>
      <w:r w:rsidRPr="009C25A6">
        <w:rPr>
          <w:i/>
          <w:iCs/>
          <w:sz w:val="20"/>
          <w:szCs w:val="20"/>
        </w:rPr>
        <w:t>nehospodářskou</w:t>
      </w:r>
      <w:proofErr w:type="spellEnd"/>
      <w:r w:rsidRPr="009C25A6">
        <w:rPr>
          <w:i/>
          <w:iCs/>
          <w:sz w:val="20"/>
          <w:szCs w:val="20"/>
        </w:rPr>
        <w:t xml:space="preserve"> činnost považuje veřejné vzdělávání organizované v rámci státního vzdělávacího systému, jež je z velké části nebo zcela financováno ze státních prostředků a je státem kontrolováno,</w:t>
      </w:r>
    </w:p>
    <w:p w14:paraId="738B6989" w14:textId="77777777" w:rsidR="003A0A15" w:rsidRPr="009C25A6" w:rsidRDefault="003A0A15" w:rsidP="003A0A15">
      <w:pPr>
        <w:numPr>
          <w:ilvl w:val="0"/>
          <w:numId w:val="1"/>
        </w:numPr>
        <w:rPr>
          <w:i/>
          <w:iCs/>
          <w:sz w:val="20"/>
          <w:szCs w:val="20"/>
        </w:rPr>
      </w:pPr>
      <w:r w:rsidRPr="009C25A6">
        <w:rPr>
          <w:i/>
          <w:iCs/>
          <w:sz w:val="20"/>
          <w:szCs w:val="20"/>
        </w:rPr>
        <w:t xml:space="preserve">nezávislý </w:t>
      </w:r>
      <w:proofErr w:type="spellStart"/>
      <w:r w:rsidRPr="009C25A6">
        <w:rPr>
          <w:i/>
          <w:iCs/>
          <w:sz w:val="20"/>
          <w:szCs w:val="20"/>
        </w:rPr>
        <w:t>VaV</w:t>
      </w:r>
      <w:proofErr w:type="spellEnd"/>
      <w:r w:rsidRPr="009C25A6">
        <w:rPr>
          <w:i/>
          <w:iCs/>
          <w:sz w:val="20"/>
          <w:szCs w:val="20"/>
        </w:rPr>
        <w:t xml:space="preserve"> s cílem získat nové poznatky a lépe pochopit dané téma, včetně kooperativního </w:t>
      </w:r>
      <w:proofErr w:type="spellStart"/>
      <w:r w:rsidRPr="009C25A6">
        <w:rPr>
          <w:i/>
          <w:iCs/>
          <w:sz w:val="20"/>
          <w:szCs w:val="20"/>
        </w:rPr>
        <w:t>VaV</w:t>
      </w:r>
      <w:proofErr w:type="spellEnd"/>
      <w:r w:rsidRPr="009C25A6">
        <w:rPr>
          <w:i/>
          <w:iCs/>
          <w:sz w:val="20"/>
          <w:szCs w:val="20"/>
        </w:rPr>
        <w:t>, pokud je spolupráce, do níž je výzkumná organizace nebo výzkumná infrastruktura zapojena, účinná</w:t>
      </w:r>
      <w:r w:rsidRPr="009C25A6">
        <w:rPr>
          <w:i/>
          <w:iCs/>
          <w:sz w:val="20"/>
          <w:szCs w:val="20"/>
          <w:vertAlign w:val="superscript"/>
        </w:rPr>
        <w:t>1</w:t>
      </w:r>
      <w:r w:rsidRPr="009C25A6">
        <w:rPr>
          <w:i/>
          <w:iCs/>
          <w:sz w:val="20"/>
          <w:szCs w:val="20"/>
        </w:rPr>
        <w:t>,</w:t>
      </w:r>
    </w:p>
    <w:p w14:paraId="465CB0CB" w14:textId="77777777" w:rsidR="003A0A15" w:rsidRPr="009C25A6" w:rsidRDefault="003A0A15" w:rsidP="003A0A15">
      <w:pPr>
        <w:numPr>
          <w:ilvl w:val="0"/>
          <w:numId w:val="1"/>
        </w:numPr>
        <w:rPr>
          <w:i/>
          <w:iCs/>
          <w:sz w:val="20"/>
          <w:szCs w:val="20"/>
        </w:rPr>
      </w:pPr>
      <w:r w:rsidRPr="009C25A6">
        <w:rPr>
          <w:i/>
          <w:iCs/>
          <w:sz w:val="20"/>
          <w:szCs w:val="20"/>
        </w:rPr>
        <w:t>veřejné šíření výsledků výzkumu na nevýlučném a nediskriminačním základě, například prostřednictvím výuky, databází s otevřeným přístupem, veřejně přístupných publikací či otevřeného softwaru;</w:t>
      </w:r>
    </w:p>
    <w:p w14:paraId="6CF737AE" w14:textId="55FA4F34" w:rsidR="003A0A15" w:rsidRPr="009C25A6" w:rsidRDefault="003A0A15" w:rsidP="003A0A15">
      <w:pPr>
        <w:ind w:left="360" w:hanging="360"/>
        <w:rPr>
          <w:i/>
          <w:iCs/>
          <w:sz w:val="20"/>
          <w:szCs w:val="20"/>
        </w:rPr>
      </w:pPr>
      <w:r w:rsidRPr="009C25A6">
        <w:rPr>
          <w:i/>
          <w:iCs/>
          <w:sz w:val="20"/>
          <w:szCs w:val="20"/>
        </w:rPr>
        <w:t>b)</w:t>
      </w:r>
      <w:r w:rsidRPr="009C25A6">
        <w:rPr>
          <w:i/>
          <w:iCs/>
          <w:sz w:val="20"/>
          <w:szCs w:val="20"/>
        </w:rPr>
        <w:tab/>
        <w:t xml:space="preserve">činnosti v rámci </w:t>
      </w:r>
      <w:r w:rsidR="009C25A6" w:rsidRPr="009C25A6">
        <w:rPr>
          <w:i/>
          <w:iCs/>
          <w:sz w:val="20"/>
          <w:szCs w:val="20"/>
        </w:rPr>
        <w:t>předávání</w:t>
      </w:r>
      <w:r w:rsidRPr="009C25A6">
        <w:rPr>
          <w:i/>
          <w:iCs/>
          <w:sz w:val="20"/>
          <w:szCs w:val="20"/>
        </w:rPr>
        <w:t xml:space="preserve"> znalostí, pokud jsou prováděny buď výzkumnou organizací nebo výzkumnou infrastrukturou (včetně jejich oddělení či poboček), nebo společně s dalšími takovými subjekty či jejich jménem a pokud se veškerý zisk z těchto činností znovu investuje do primárních činností výzkumné organizace nebo výzkumné infrastruktury. </w:t>
      </w:r>
      <w:proofErr w:type="spellStart"/>
      <w:r w:rsidRPr="009C25A6">
        <w:rPr>
          <w:i/>
          <w:iCs/>
          <w:sz w:val="20"/>
          <w:szCs w:val="20"/>
        </w:rPr>
        <w:t>Nehospodářská</w:t>
      </w:r>
      <w:proofErr w:type="spellEnd"/>
      <w:r w:rsidRPr="009C25A6">
        <w:rPr>
          <w:i/>
          <w:iCs/>
          <w:sz w:val="20"/>
          <w:szCs w:val="20"/>
        </w:rPr>
        <w:t xml:space="preserve"> povaha těchto činností zůstává zachována i v případě svěření dodávek odpovídajících služeb třetím stranám prostřednictvím otevřeného zadávacího řízení.</w:t>
      </w:r>
    </w:p>
    <w:p w14:paraId="63FB7DFC" w14:textId="1881B2F1" w:rsidR="009C25A6" w:rsidRPr="009C25A6" w:rsidRDefault="009C25A6" w:rsidP="009C25A6">
      <w:pPr>
        <w:rPr>
          <w:i/>
          <w:iCs/>
          <w:sz w:val="20"/>
          <w:szCs w:val="20"/>
        </w:rPr>
      </w:pPr>
      <w:r>
        <w:rPr>
          <w:sz w:val="20"/>
          <w:szCs w:val="20"/>
        </w:rPr>
        <w:t xml:space="preserve">Bod </w:t>
      </w:r>
      <w:r w:rsidR="003A0A15" w:rsidRPr="00F21C72">
        <w:rPr>
          <w:sz w:val="20"/>
          <w:szCs w:val="20"/>
        </w:rPr>
        <w:t>2</w:t>
      </w:r>
      <w:r>
        <w:rPr>
          <w:sz w:val="20"/>
          <w:szCs w:val="20"/>
        </w:rPr>
        <w:t>1</w:t>
      </w:r>
      <w:r w:rsidR="003A0A15" w:rsidRPr="00F21C72">
        <w:rPr>
          <w:sz w:val="20"/>
          <w:szCs w:val="20"/>
        </w:rPr>
        <w:t>.</w:t>
      </w:r>
      <w:r>
        <w:rPr>
          <w:sz w:val="20"/>
          <w:szCs w:val="20"/>
        </w:rPr>
        <w:t>Rámce:</w:t>
      </w:r>
      <w:r w:rsidR="003A0A15" w:rsidRPr="00F21C72">
        <w:rPr>
          <w:sz w:val="20"/>
          <w:szCs w:val="20"/>
        </w:rPr>
        <w:t xml:space="preserve"> </w:t>
      </w:r>
      <w:r w:rsidRPr="009C25A6">
        <w:rPr>
          <w:i/>
          <w:iCs/>
          <w:sz w:val="20"/>
          <w:szCs w:val="20"/>
        </w:rPr>
        <w:t xml:space="preserve">Je-li výzkumná organizace nebo výzkumná infrastruktura využívána pro hospodářské i </w:t>
      </w:r>
      <w:proofErr w:type="spellStart"/>
      <w:r w:rsidRPr="009C25A6">
        <w:rPr>
          <w:i/>
          <w:iCs/>
          <w:sz w:val="20"/>
          <w:szCs w:val="20"/>
        </w:rPr>
        <w:t>nehospodářské</w:t>
      </w:r>
      <w:proofErr w:type="spellEnd"/>
      <w:r w:rsidRPr="009C25A6">
        <w:rPr>
          <w:i/>
          <w:iCs/>
          <w:sz w:val="20"/>
          <w:szCs w:val="20"/>
        </w:rPr>
        <w:t xml:space="preserve"> činnosti, vztahují se na veřejné financování pravidla státní podpory pouze do té míry, do jaké toto financování pokrývá náklady spojené s hospodářskými činnostmi</w:t>
      </w:r>
      <w:r w:rsidRPr="009C25A6">
        <w:rPr>
          <w:i/>
          <w:iCs/>
          <w:sz w:val="20"/>
          <w:szCs w:val="20"/>
          <w:vertAlign w:val="superscript"/>
        </w:rPr>
        <w:t>2</w:t>
      </w:r>
      <w:r w:rsidRPr="00F21C72">
        <w:rPr>
          <w:sz w:val="20"/>
          <w:szCs w:val="20"/>
        </w:rPr>
        <w:t>.</w:t>
      </w:r>
      <w:r w:rsidRPr="009C25A6">
        <w:rPr>
          <w:i/>
          <w:iCs/>
          <w:sz w:val="20"/>
          <w:szCs w:val="20"/>
        </w:rPr>
        <w:t xml:space="preserve"> Je-li výzkumná organizace nebo výzkumná infrastruktura využívána téměř výhradně pro </w:t>
      </w:r>
      <w:proofErr w:type="spellStart"/>
      <w:r w:rsidRPr="009C25A6">
        <w:rPr>
          <w:i/>
          <w:iCs/>
          <w:sz w:val="20"/>
          <w:szCs w:val="20"/>
        </w:rPr>
        <w:t>nehospodářskou</w:t>
      </w:r>
      <w:proofErr w:type="spellEnd"/>
      <w:r w:rsidRPr="009C25A6">
        <w:rPr>
          <w:i/>
          <w:iCs/>
          <w:sz w:val="20"/>
          <w:szCs w:val="20"/>
        </w:rPr>
        <w:t xml:space="preserve"> činnost, může její financování zcela spadat mimo působnost pravidel státní podpory za předpokladu, že její hospodářské využití je čistě vedlejší, tj. jedná se o </w:t>
      </w:r>
      <w:r w:rsidRPr="009C25A6">
        <w:rPr>
          <w:i/>
          <w:iCs/>
          <w:sz w:val="20"/>
          <w:szCs w:val="20"/>
        </w:rPr>
        <w:lastRenderedPageBreak/>
        <w:t xml:space="preserve">činnost, která přímo souvisí s provozem výzkumné organizace nebo výzkumné infrastruktury a je pro její provoz nezbytná či je neoddělitelně spojena s jejím hlavním </w:t>
      </w:r>
      <w:proofErr w:type="spellStart"/>
      <w:r w:rsidRPr="009C25A6">
        <w:rPr>
          <w:i/>
          <w:iCs/>
          <w:sz w:val="20"/>
          <w:szCs w:val="20"/>
        </w:rPr>
        <w:t>nehospodářským</w:t>
      </w:r>
      <w:proofErr w:type="spellEnd"/>
      <w:r w:rsidRPr="009C25A6">
        <w:rPr>
          <w:i/>
          <w:iCs/>
          <w:sz w:val="20"/>
          <w:szCs w:val="20"/>
        </w:rPr>
        <w:t xml:space="preserve"> využitím a je omezena co do rozsahu. Pro účely tohoto rámce bude Komise tuto podmínku považovat za splněnou v případě, že pro hospodářské činnosti budou využívány naprosto stejné vstupy (např. materiál, zařízení, pracovní síla a fixní kapitál) jako u </w:t>
      </w:r>
      <w:proofErr w:type="spellStart"/>
      <w:r w:rsidRPr="009C25A6">
        <w:rPr>
          <w:i/>
          <w:iCs/>
          <w:sz w:val="20"/>
          <w:szCs w:val="20"/>
        </w:rPr>
        <w:t>nehospodářských</w:t>
      </w:r>
      <w:proofErr w:type="spellEnd"/>
      <w:r w:rsidRPr="009C25A6">
        <w:rPr>
          <w:i/>
          <w:iCs/>
          <w:sz w:val="20"/>
          <w:szCs w:val="20"/>
        </w:rPr>
        <w:t xml:space="preserve"> činností a kapacita přidělená každý rok na tyto hospodářské činnosti nepřesáhne 20 % celkové roční kapacity daného subjektu.</w:t>
      </w:r>
    </w:p>
    <w:p w14:paraId="5F1AF2BC" w14:textId="421D0BA2" w:rsidR="003A0A15" w:rsidRPr="00F21C72" w:rsidRDefault="003A0A15" w:rsidP="003A0A15">
      <w:pPr>
        <w:ind w:firstLine="0"/>
        <w:rPr>
          <w:rFonts w:cs="Arial"/>
          <w:sz w:val="20"/>
          <w:szCs w:val="20"/>
        </w:rPr>
      </w:pPr>
    </w:p>
    <w:p w14:paraId="6F323F36" w14:textId="77777777" w:rsidR="009C25A6" w:rsidRDefault="009C25A6" w:rsidP="003A0A15">
      <w:pPr>
        <w:rPr>
          <w:rFonts w:cs="Arial"/>
          <w:sz w:val="20"/>
          <w:szCs w:val="20"/>
        </w:rPr>
      </w:pPr>
    </w:p>
    <w:p w14:paraId="7B52DABD" w14:textId="77777777" w:rsidR="009C25A6" w:rsidRDefault="009C25A6" w:rsidP="003A0A15">
      <w:pPr>
        <w:rPr>
          <w:rFonts w:cs="Arial"/>
          <w:sz w:val="20"/>
          <w:szCs w:val="20"/>
        </w:rPr>
      </w:pPr>
    </w:p>
    <w:p w14:paraId="40EB9D91" w14:textId="77777777" w:rsidR="009C25A6" w:rsidRDefault="009C25A6" w:rsidP="003A0A15">
      <w:pPr>
        <w:rPr>
          <w:rFonts w:cs="Arial"/>
          <w:sz w:val="20"/>
          <w:szCs w:val="20"/>
        </w:rPr>
      </w:pPr>
    </w:p>
    <w:p w14:paraId="4A19CC47" w14:textId="77777777" w:rsidR="009C25A6" w:rsidRDefault="009C25A6" w:rsidP="003A0A15">
      <w:pPr>
        <w:ind w:firstLine="0"/>
        <w:jc w:val="left"/>
        <w:rPr>
          <w:rFonts w:cs="Arial"/>
          <w:sz w:val="20"/>
          <w:szCs w:val="20"/>
        </w:rPr>
      </w:pPr>
    </w:p>
    <w:p w14:paraId="5AB18933" w14:textId="77777777" w:rsidR="009C25A6" w:rsidRDefault="009C25A6" w:rsidP="003A0A15">
      <w:pPr>
        <w:ind w:firstLine="0"/>
        <w:jc w:val="left"/>
        <w:rPr>
          <w:rFonts w:cs="Arial"/>
          <w:sz w:val="20"/>
          <w:szCs w:val="20"/>
        </w:rPr>
      </w:pPr>
    </w:p>
    <w:p w14:paraId="7AA7C05E" w14:textId="77777777" w:rsidR="009C25A6" w:rsidRDefault="009C25A6" w:rsidP="003A0A15">
      <w:pPr>
        <w:ind w:firstLine="0"/>
        <w:jc w:val="left"/>
        <w:rPr>
          <w:rFonts w:cs="Arial"/>
          <w:sz w:val="20"/>
          <w:szCs w:val="20"/>
        </w:rPr>
      </w:pPr>
    </w:p>
    <w:p w14:paraId="61433A13" w14:textId="77777777" w:rsidR="009C25A6" w:rsidRDefault="009C25A6" w:rsidP="003A0A15">
      <w:pPr>
        <w:ind w:firstLine="0"/>
        <w:jc w:val="left"/>
        <w:rPr>
          <w:rFonts w:cs="Arial"/>
          <w:sz w:val="20"/>
          <w:szCs w:val="20"/>
        </w:rPr>
      </w:pPr>
    </w:p>
    <w:p w14:paraId="0F27A20B" w14:textId="77777777" w:rsidR="009C25A6" w:rsidRDefault="009C25A6" w:rsidP="003A0A15">
      <w:pPr>
        <w:ind w:firstLine="0"/>
        <w:jc w:val="left"/>
        <w:rPr>
          <w:rFonts w:cs="Arial"/>
          <w:sz w:val="20"/>
          <w:szCs w:val="20"/>
        </w:rPr>
      </w:pPr>
    </w:p>
    <w:p w14:paraId="1AC45248" w14:textId="77777777" w:rsidR="009C25A6" w:rsidRDefault="009C25A6" w:rsidP="003A0A15">
      <w:pPr>
        <w:ind w:firstLine="0"/>
        <w:jc w:val="left"/>
        <w:rPr>
          <w:rFonts w:cs="Arial"/>
          <w:sz w:val="20"/>
          <w:szCs w:val="20"/>
        </w:rPr>
      </w:pPr>
    </w:p>
    <w:p w14:paraId="14A743F9" w14:textId="77777777" w:rsidR="009C25A6" w:rsidRDefault="009C25A6" w:rsidP="003A0A15">
      <w:pPr>
        <w:ind w:firstLine="0"/>
        <w:jc w:val="left"/>
        <w:rPr>
          <w:rFonts w:cs="Arial"/>
          <w:sz w:val="20"/>
          <w:szCs w:val="20"/>
        </w:rPr>
      </w:pPr>
    </w:p>
    <w:p w14:paraId="185662FC" w14:textId="77777777" w:rsidR="009C25A6" w:rsidRDefault="009C25A6" w:rsidP="003A0A15">
      <w:pPr>
        <w:ind w:firstLine="0"/>
        <w:jc w:val="left"/>
        <w:rPr>
          <w:rFonts w:cs="Arial"/>
          <w:sz w:val="20"/>
          <w:szCs w:val="20"/>
        </w:rPr>
      </w:pPr>
    </w:p>
    <w:p w14:paraId="7A5C634C" w14:textId="77777777" w:rsidR="009C25A6" w:rsidRDefault="009C25A6" w:rsidP="003A0A15">
      <w:pPr>
        <w:ind w:firstLine="0"/>
        <w:jc w:val="left"/>
        <w:rPr>
          <w:rFonts w:cs="Arial"/>
          <w:sz w:val="20"/>
          <w:szCs w:val="20"/>
        </w:rPr>
      </w:pPr>
    </w:p>
    <w:p w14:paraId="34A0033A" w14:textId="77777777" w:rsidR="009C25A6" w:rsidRDefault="009C25A6" w:rsidP="003A0A15">
      <w:pPr>
        <w:ind w:firstLine="0"/>
        <w:jc w:val="left"/>
        <w:rPr>
          <w:rFonts w:cs="Arial"/>
          <w:sz w:val="20"/>
          <w:szCs w:val="20"/>
        </w:rPr>
      </w:pPr>
    </w:p>
    <w:p w14:paraId="06C7B4A1" w14:textId="77777777" w:rsidR="009C25A6" w:rsidRDefault="009C25A6" w:rsidP="003A0A15">
      <w:pPr>
        <w:ind w:firstLine="0"/>
        <w:jc w:val="left"/>
        <w:rPr>
          <w:rFonts w:cs="Arial"/>
          <w:sz w:val="20"/>
          <w:szCs w:val="20"/>
        </w:rPr>
      </w:pPr>
    </w:p>
    <w:p w14:paraId="7D94D066" w14:textId="77777777" w:rsidR="009C25A6" w:rsidRDefault="009C25A6" w:rsidP="003A0A15">
      <w:pPr>
        <w:ind w:firstLine="0"/>
        <w:jc w:val="left"/>
        <w:rPr>
          <w:rFonts w:cs="Arial"/>
          <w:sz w:val="20"/>
          <w:szCs w:val="20"/>
        </w:rPr>
      </w:pPr>
    </w:p>
    <w:p w14:paraId="4E894B80" w14:textId="77777777" w:rsidR="009C25A6" w:rsidRDefault="009C25A6" w:rsidP="003A0A15">
      <w:pPr>
        <w:ind w:firstLine="0"/>
        <w:jc w:val="left"/>
        <w:rPr>
          <w:rFonts w:cs="Arial"/>
          <w:sz w:val="20"/>
          <w:szCs w:val="20"/>
        </w:rPr>
      </w:pPr>
    </w:p>
    <w:p w14:paraId="31069291" w14:textId="77777777" w:rsidR="009C25A6" w:rsidRDefault="009C25A6" w:rsidP="003A0A15">
      <w:pPr>
        <w:ind w:firstLine="0"/>
        <w:jc w:val="left"/>
        <w:rPr>
          <w:rFonts w:cs="Arial"/>
          <w:sz w:val="20"/>
          <w:szCs w:val="20"/>
        </w:rPr>
      </w:pPr>
    </w:p>
    <w:p w14:paraId="59F7D509" w14:textId="77777777" w:rsidR="009C25A6" w:rsidRDefault="009C25A6" w:rsidP="003A0A15">
      <w:pPr>
        <w:ind w:firstLine="0"/>
        <w:jc w:val="left"/>
        <w:rPr>
          <w:rFonts w:cs="Arial"/>
          <w:sz w:val="20"/>
          <w:szCs w:val="20"/>
        </w:rPr>
      </w:pPr>
    </w:p>
    <w:p w14:paraId="13AB1070" w14:textId="77777777" w:rsidR="009C25A6" w:rsidRDefault="009C25A6" w:rsidP="003A0A15">
      <w:pPr>
        <w:ind w:firstLine="0"/>
        <w:jc w:val="left"/>
        <w:rPr>
          <w:rFonts w:cs="Arial"/>
          <w:sz w:val="20"/>
          <w:szCs w:val="20"/>
        </w:rPr>
      </w:pPr>
    </w:p>
    <w:p w14:paraId="0472B4DA" w14:textId="77777777" w:rsidR="009C25A6" w:rsidRDefault="009C25A6" w:rsidP="003A0A15">
      <w:pPr>
        <w:ind w:firstLine="0"/>
        <w:jc w:val="left"/>
        <w:rPr>
          <w:rFonts w:cs="Arial"/>
          <w:sz w:val="20"/>
          <w:szCs w:val="20"/>
        </w:rPr>
      </w:pPr>
    </w:p>
    <w:p w14:paraId="7323AAFD" w14:textId="77777777" w:rsidR="00CD426D" w:rsidRDefault="00CD426D" w:rsidP="003A0A15">
      <w:pPr>
        <w:ind w:firstLine="0"/>
        <w:jc w:val="left"/>
        <w:rPr>
          <w:rFonts w:cs="Arial"/>
          <w:sz w:val="20"/>
          <w:szCs w:val="20"/>
        </w:rPr>
      </w:pPr>
    </w:p>
    <w:p w14:paraId="19CC48F2" w14:textId="77777777" w:rsidR="00CD426D" w:rsidRDefault="00CD426D" w:rsidP="003A0A15">
      <w:pPr>
        <w:ind w:firstLine="0"/>
        <w:jc w:val="left"/>
        <w:rPr>
          <w:rFonts w:cs="Arial"/>
          <w:sz w:val="20"/>
          <w:szCs w:val="20"/>
        </w:rPr>
      </w:pPr>
    </w:p>
    <w:p w14:paraId="2B444C5F" w14:textId="61ADE97E" w:rsidR="003A0A15" w:rsidRPr="00F21C72" w:rsidRDefault="003A0A15" w:rsidP="003A0A15">
      <w:pPr>
        <w:ind w:firstLine="0"/>
        <w:jc w:val="left"/>
        <w:rPr>
          <w:rFonts w:cs="Arial"/>
          <w:sz w:val="20"/>
          <w:szCs w:val="20"/>
        </w:rPr>
      </w:pPr>
      <w:r w:rsidRPr="00F21C72">
        <w:rPr>
          <w:rFonts w:cs="Arial"/>
          <w:sz w:val="20"/>
          <w:szCs w:val="20"/>
        </w:rPr>
        <w:t>__________________________________</w:t>
      </w:r>
    </w:p>
    <w:p w14:paraId="7632AA68" w14:textId="77777777" w:rsidR="003A0A15" w:rsidRPr="00CD426D" w:rsidRDefault="003A0A15" w:rsidP="003A0A15">
      <w:pPr>
        <w:pStyle w:val="Textpoznpodarou"/>
        <w:ind w:left="180" w:hanging="180"/>
        <w:rPr>
          <w:i/>
          <w:sz w:val="18"/>
          <w:szCs w:val="18"/>
        </w:rPr>
      </w:pPr>
      <w:r w:rsidRPr="00F21C72">
        <w:rPr>
          <w:rStyle w:val="Znakapoznpodarou"/>
          <w:i/>
        </w:rPr>
        <w:footnoteRef/>
      </w:r>
      <w:r w:rsidRPr="00F21C72">
        <w:rPr>
          <w:i/>
        </w:rPr>
        <w:t xml:space="preserve"> </w:t>
      </w:r>
      <w:r w:rsidRPr="00CD426D">
        <w:rPr>
          <w:i/>
          <w:sz w:val="18"/>
          <w:szCs w:val="18"/>
        </w:rPr>
        <w:t xml:space="preserve">Poskytování služeb v oblasti </w:t>
      </w:r>
      <w:proofErr w:type="spellStart"/>
      <w:r w:rsidRPr="00CD426D">
        <w:rPr>
          <w:i/>
          <w:sz w:val="18"/>
          <w:szCs w:val="18"/>
        </w:rPr>
        <w:t>VaV</w:t>
      </w:r>
      <w:proofErr w:type="spellEnd"/>
      <w:r w:rsidRPr="00CD426D">
        <w:rPr>
          <w:i/>
          <w:sz w:val="18"/>
          <w:szCs w:val="18"/>
        </w:rPr>
        <w:t xml:space="preserve"> a </w:t>
      </w:r>
      <w:proofErr w:type="spellStart"/>
      <w:r w:rsidRPr="00CD426D">
        <w:rPr>
          <w:i/>
          <w:sz w:val="18"/>
          <w:szCs w:val="18"/>
        </w:rPr>
        <w:t>VaV</w:t>
      </w:r>
      <w:proofErr w:type="spellEnd"/>
      <w:r w:rsidRPr="00CD426D">
        <w:rPr>
          <w:i/>
          <w:sz w:val="18"/>
          <w:szCs w:val="18"/>
        </w:rPr>
        <w:t xml:space="preserve"> prováděný jménem podniků se nepovažují za nezávislý </w:t>
      </w:r>
      <w:proofErr w:type="spellStart"/>
      <w:r w:rsidRPr="00CD426D">
        <w:rPr>
          <w:i/>
          <w:sz w:val="18"/>
          <w:szCs w:val="18"/>
        </w:rPr>
        <w:t>VaV</w:t>
      </w:r>
      <w:proofErr w:type="spellEnd"/>
    </w:p>
    <w:p w14:paraId="7CB6D910" w14:textId="5F7C227F" w:rsidR="00140FD7" w:rsidRPr="00CD426D" w:rsidRDefault="003A0A15" w:rsidP="009C25A6">
      <w:pPr>
        <w:pStyle w:val="Textpoznpodarou"/>
        <w:ind w:left="180" w:hanging="180"/>
        <w:rPr>
          <w:sz w:val="18"/>
          <w:szCs w:val="18"/>
        </w:rPr>
      </w:pPr>
      <w:r w:rsidRPr="00CD426D">
        <w:rPr>
          <w:rStyle w:val="Znakapoznpodarou"/>
          <w:i/>
          <w:sz w:val="18"/>
          <w:szCs w:val="18"/>
        </w:rPr>
        <w:t>2</w:t>
      </w:r>
      <w:r w:rsidRPr="00CD426D">
        <w:rPr>
          <w:i/>
          <w:sz w:val="18"/>
          <w:szCs w:val="18"/>
        </w:rPr>
        <w:t xml:space="preserve"> Pokud je výzkumná organizace nebo výzkumná infrastruktura financována jak z veřejných, tak ze soukromých zdrojů, bude se podle Komise o takový případ jednat tehdy, je-li veřejné financování přidělené danému subjektu v konkrétním účetním období vyšší než náklady, jež mu v tomto období vzniknou v souvislosti s </w:t>
      </w:r>
      <w:proofErr w:type="spellStart"/>
      <w:r w:rsidRPr="00CD426D">
        <w:rPr>
          <w:i/>
          <w:sz w:val="18"/>
          <w:szCs w:val="18"/>
        </w:rPr>
        <w:t>nehospodářskými</w:t>
      </w:r>
      <w:proofErr w:type="spellEnd"/>
      <w:r w:rsidRPr="00CD426D">
        <w:rPr>
          <w:i/>
          <w:sz w:val="18"/>
          <w:szCs w:val="18"/>
        </w:rPr>
        <w:t xml:space="preserve"> činnostmi.</w:t>
      </w:r>
    </w:p>
    <w:sectPr w:rsidR="00140FD7" w:rsidRPr="00CD4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w:altName w:val="Palatino Linotype"/>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953B0"/>
    <w:multiLevelType w:val="hybridMultilevel"/>
    <w:tmpl w:val="7D826A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15"/>
    <w:rsid w:val="00140FD7"/>
    <w:rsid w:val="003A0A15"/>
    <w:rsid w:val="003E03B4"/>
    <w:rsid w:val="00462E36"/>
    <w:rsid w:val="005F7FEA"/>
    <w:rsid w:val="006A6FE2"/>
    <w:rsid w:val="00860CF1"/>
    <w:rsid w:val="008D145E"/>
    <w:rsid w:val="009C25A6"/>
    <w:rsid w:val="00A600C5"/>
    <w:rsid w:val="00CD426D"/>
    <w:rsid w:val="00E23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6EBB"/>
  <w15:chartTrackingRefBased/>
  <w15:docId w15:val="{60AD5158-3841-4E45-9A82-AFDE1122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0A15"/>
    <w:pPr>
      <w:spacing w:after="120" w:line="240" w:lineRule="auto"/>
      <w:ind w:firstLine="709"/>
      <w:jc w:val="both"/>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3A0A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9"/>
    <w:unhideWhenUsed/>
    <w:qFormat/>
    <w:rsid w:val="003A0A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A0A1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A0A1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A0A1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A0A1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A0A1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A0A1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A0A1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A0A1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9"/>
    <w:rsid w:val="003A0A1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A0A1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A0A1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A0A1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A0A1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A0A1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A0A1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A0A15"/>
    <w:rPr>
      <w:rFonts w:eastAsiaTheme="majorEastAsia" w:cstheme="majorBidi"/>
      <w:color w:val="272727" w:themeColor="text1" w:themeTint="D8"/>
    </w:rPr>
  </w:style>
  <w:style w:type="paragraph" w:styleId="Nzev">
    <w:name w:val="Title"/>
    <w:basedOn w:val="Normln"/>
    <w:next w:val="Normln"/>
    <w:link w:val="NzevChar"/>
    <w:uiPriority w:val="10"/>
    <w:qFormat/>
    <w:rsid w:val="003A0A1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A0A1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A0A15"/>
    <w:pPr>
      <w:numPr>
        <w:ilvl w:val="1"/>
      </w:numPr>
      <w:ind w:firstLine="709"/>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A0A1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A0A15"/>
    <w:pPr>
      <w:spacing w:before="160"/>
      <w:jc w:val="center"/>
    </w:pPr>
    <w:rPr>
      <w:i/>
      <w:iCs/>
      <w:color w:val="404040" w:themeColor="text1" w:themeTint="BF"/>
    </w:rPr>
  </w:style>
  <w:style w:type="character" w:customStyle="1" w:styleId="CittChar">
    <w:name w:val="Citát Char"/>
    <w:basedOn w:val="Standardnpsmoodstavce"/>
    <w:link w:val="Citt"/>
    <w:uiPriority w:val="29"/>
    <w:rsid w:val="003A0A15"/>
    <w:rPr>
      <w:i/>
      <w:iCs/>
      <w:color w:val="404040" w:themeColor="text1" w:themeTint="BF"/>
    </w:rPr>
  </w:style>
  <w:style w:type="paragraph" w:styleId="Odstavecseseznamem">
    <w:name w:val="List Paragraph"/>
    <w:basedOn w:val="Normln"/>
    <w:uiPriority w:val="34"/>
    <w:qFormat/>
    <w:rsid w:val="003A0A15"/>
    <w:pPr>
      <w:ind w:left="720"/>
      <w:contextualSpacing/>
    </w:pPr>
  </w:style>
  <w:style w:type="character" w:styleId="Zdraznnintenzivn">
    <w:name w:val="Intense Emphasis"/>
    <w:basedOn w:val="Standardnpsmoodstavce"/>
    <w:uiPriority w:val="21"/>
    <w:qFormat/>
    <w:rsid w:val="003A0A15"/>
    <w:rPr>
      <w:i/>
      <w:iCs/>
      <w:color w:val="0F4761" w:themeColor="accent1" w:themeShade="BF"/>
    </w:rPr>
  </w:style>
  <w:style w:type="paragraph" w:styleId="Vrazncitt">
    <w:name w:val="Intense Quote"/>
    <w:basedOn w:val="Normln"/>
    <w:next w:val="Normln"/>
    <w:link w:val="VrazncittChar"/>
    <w:uiPriority w:val="30"/>
    <w:qFormat/>
    <w:rsid w:val="003A0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A0A15"/>
    <w:rPr>
      <w:i/>
      <w:iCs/>
      <w:color w:val="0F4761" w:themeColor="accent1" w:themeShade="BF"/>
    </w:rPr>
  </w:style>
  <w:style w:type="character" w:styleId="Odkazintenzivn">
    <w:name w:val="Intense Reference"/>
    <w:basedOn w:val="Standardnpsmoodstavce"/>
    <w:uiPriority w:val="32"/>
    <w:qFormat/>
    <w:rsid w:val="003A0A15"/>
    <w:rPr>
      <w:b/>
      <w:bCs/>
      <w:smallCaps/>
      <w:color w:val="0F4761" w:themeColor="accent1" w:themeShade="BF"/>
      <w:spacing w:val="5"/>
    </w:rPr>
  </w:style>
  <w:style w:type="paragraph" w:customStyle="1" w:styleId="Nadpis10">
    <w:name w:val="Nadpis1"/>
    <w:basedOn w:val="Nadpis1"/>
    <w:next w:val="Normln"/>
    <w:uiPriority w:val="99"/>
    <w:rsid w:val="003A0A15"/>
    <w:pPr>
      <w:tabs>
        <w:tab w:val="num" w:pos="709"/>
      </w:tabs>
      <w:spacing w:after="120"/>
      <w:ind w:left="709" w:hanging="567"/>
    </w:pPr>
    <w:rPr>
      <w:rFonts w:ascii="Cambria" w:eastAsia="Times New Roman" w:hAnsi="Cambria" w:cs="Times New Roman"/>
      <w:b/>
      <w:color w:val="auto"/>
      <w:kern w:val="32"/>
      <w:sz w:val="32"/>
      <w:szCs w:val="20"/>
    </w:rPr>
  </w:style>
  <w:style w:type="paragraph" w:styleId="Textpoznpodarou">
    <w:name w:val="footnote text"/>
    <w:basedOn w:val="Normln"/>
    <w:link w:val="TextpoznpodarouChar"/>
    <w:rsid w:val="003A0A15"/>
    <w:pPr>
      <w:spacing w:after="60"/>
      <w:ind w:left="284"/>
    </w:pPr>
    <w:rPr>
      <w:sz w:val="20"/>
      <w:szCs w:val="20"/>
    </w:rPr>
  </w:style>
  <w:style w:type="character" w:customStyle="1" w:styleId="TextpoznpodarouChar">
    <w:name w:val="Text pozn. pod čarou Char"/>
    <w:basedOn w:val="Standardnpsmoodstavce"/>
    <w:link w:val="Textpoznpodarou"/>
    <w:rsid w:val="003A0A15"/>
    <w:rPr>
      <w:rFonts w:ascii="Times New Roman" w:eastAsia="Times New Roman" w:hAnsi="Times New Roman" w:cs="Times New Roman"/>
      <w:kern w:val="0"/>
      <w:sz w:val="20"/>
      <w:szCs w:val="20"/>
      <w:lang w:eastAsia="cs-CZ"/>
      <w14:ligatures w14:val="none"/>
    </w:rPr>
  </w:style>
  <w:style w:type="character" w:styleId="Znakapoznpodarou">
    <w:name w:val="footnote reference"/>
    <w:rsid w:val="003A0A1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746</Words>
  <Characters>4404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Reichová</dc:creator>
  <cp:keywords/>
  <dc:description/>
  <cp:lastModifiedBy>Kocmanová Monika</cp:lastModifiedBy>
  <cp:revision>4</cp:revision>
  <dcterms:created xsi:type="dcterms:W3CDTF">2024-11-14T15:09:00Z</dcterms:created>
  <dcterms:modified xsi:type="dcterms:W3CDTF">2024-11-22T18:46:00Z</dcterms:modified>
</cp:coreProperties>
</file>